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83B7" w14:textId="66EE073D" w:rsidR="00123792" w:rsidRDefault="0038069B">
      <w:pPr>
        <w:pStyle w:val="Title"/>
        <w:spacing w:before="200" w:after="0" w:line="240" w:lineRule="auto"/>
        <w:jc w:val="center"/>
        <w:rPr>
          <w:rFonts w:ascii="Proxima Nova" w:eastAsia="Proxima Nova" w:hAnsi="Proxima Nova" w:cs="Proxima Nova"/>
          <w:b/>
          <w:color w:val="404040"/>
          <w:sz w:val="44"/>
          <w:szCs w:val="44"/>
        </w:rPr>
      </w:pPr>
      <w:bookmarkStart w:id="0" w:name="_gjdgxs" w:colFirst="0" w:colLast="0"/>
      <w:bookmarkEnd w:id="0"/>
      <w:r>
        <w:rPr>
          <w:rFonts w:ascii="Proxima Nova" w:eastAsia="Proxima Nova" w:hAnsi="Proxima Nova" w:cs="Proxima Nova"/>
          <w:color w:val="00447C"/>
          <w:sz w:val="40"/>
          <w:szCs w:val="40"/>
        </w:rPr>
        <w:t xml:space="preserve">CASA of </w:t>
      </w:r>
      <w:r w:rsidR="009B457D">
        <w:rPr>
          <w:rFonts w:ascii="Proxima Nova" w:eastAsia="Proxima Nova" w:hAnsi="Proxima Nova" w:cs="Proxima Nova"/>
          <w:color w:val="00447C"/>
          <w:sz w:val="40"/>
          <w:szCs w:val="40"/>
        </w:rPr>
        <w:t>Marion County</w:t>
      </w:r>
      <w:r>
        <w:rPr>
          <w:rFonts w:ascii="Proxima Nova" w:eastAsia="Proxima Nova" w:hAnsi="Proxima Nova" w:cs="Proxima Nova"/>
          <w:color w:val="404040"/>
          <w:sz w:val="32"/>
          <w:szCs w:val="32"/>
        </w:rPr>
        <w:br/>
      </w:r>
      <w:r>
        <w:rPr>
          <w:rFonts w:ascii="Proxima Nova" w:eastAsia="Proxima Nova" w:hAnsi="Proxima Nova" w:cs="Proxima Nova"/>
          <w:b/>
          <w:color w:val="404040"/>
          <w:sz w:val="44"/>
          <w:szCs w:val="44"/>
        </w:rPr>
        <w:t>Executive Director Evaluation Form</w:t>
      </w:r>
    </w:p>
    <w:p w14:paraId="53D7B695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b/>
          <w:i/>
          <w:sz w:val="21"/>
          <w:szCs w:val="21"/>
        </w:rPr>
      </w:pPr>
    </w:p>
    <w:p w14:paraId="15844753" w14:textId="1BB7F1E2" w:rsidR="00123792" w:rsidRDefault="0038069B">
      <w:pPr>
        <w:spacing w:before="200" w:line="300" w:lineRule="auto"/>
        <w:rPr>
          <w:rFonts w:ascii="Proxima Nova" w:eastAsia="Proxima Nova" w:hAnsi="Proxima Nova" w:cs="Proxima Nova"/>
          <w:sz w:val="21"/>
          <w:szCs w:val="21"/>
        </w:rPr>
      </w:pPr>
      <w:r>
        <w:rPr>
          <w:rFonts w:ascii="Proxima Nova" w:eastAsia="Proxima Nova" w:hAnsi="Proxima Nova" w:cs="Proxima Nova"/>
          <w:b/>
          <w:color w:val="00447C"/>
        </w:rPr>
        <w:t>Process:</w:t>
      </w:r>
      <w:r>
        <w:rPr>
          <w:rFonts w:ascii="Proxima Nova" w:eastAsia="Proxima Nova" w:hAnsi="Proxima Nova" w:cs="Proxima Nova"/>
          <w:sz w:val="20"/>
          <w:szCs w:val="20"/>
        </w:rPr>
        <w:t xml:space="preserve"> </w:t>
      </w:r>
      <w:r>
        <w:rPr>
          <w:rFonts w:ascii="Proxima Nova" w:eastAsia="Proxima Nova" w:hAnsi="Proxima Nova" w:cs="Proxima Nova"/>
          <w:sz w:val="21"/>
          <w:szCs w:val="21"/>
        </w:rPr>
        <w:t xml:space="preserve">Annually, the Executive Director should be given a formal evaluation from the Juvenile Court Judge </w:t>
      </w:r>
      <w:proofErr w:type="gramStart"/>
      <w:r>
        <w:rPr>
          <w:rFonts w:ascii="Proxima Nova" w:eastAsia="Proxima Nova" w:hAnsi="Proxima Nova" w:cs="Proxima Nova"/>
          <w:sz w:val="21"/>
          <w:szCs w:val="21"/>
        </w:rPr>
        <w:t xml:space="preserve">of </w:t>
      </w:r>
      <w:r w:rsidR="009B457D">
        <w:rPr>
          <w:rFonts w:ascii="Proxima Nova" w:eastAsia="Proxima Nova" w:hAnsi="Proxima Nova" w:cs="Proxima Nova"/>
          <w:sz w:val="21"/>
          <w:szCs w:val="21"/>
        </w:rPr>
        <w:t xml:space="preserve"> Marion</w:t>
      </w:r>
      <w:proofErr w:type="gramEnd"/>
      <w:r w:rsidR="009B457D">
        <w:rPr>
          <w:rFonts w:ascii="Proxima Nova" w:eastAsia="Proxima Nova" w:hAnsi="Proxima Nova" w:cs="Proxima Nova"/>
          <w:sz w:val="21"/>
          <w:szCs w:val="21"/>
        </w:rPr>
        <w:t xml:space="preserve"> County or the Court Administrator. </w:t>
      </w:r>
      <w:proofErr w:type="spellStart"/>
      <w:r>
        <w:rPr>
          <w:rFonts w:ascii="Proxima Nova" w:eastAsia="Proxima Nova" w:hAnsi="Proxima Nova" w:cs="Proxima Nova"/>
          <w:sz w:val="21"/>
          <w:szCs w:val="21"/>
        </w:rPr>
        <w:t>The</w:t>
      </w:r>
      <w:proofErr w:type="spellEnd"/>
      <w:r>
        <w:rPr>
          <w:rFonts w:ascii="Proxima Nova" w:eastAsia="Proxima Nova" w:hAnsi="Proxima Nova" w:cs="Proxima Nova"/>
          <w:sz w:val="21"/>
          <w:szCs w:val="21"/>
        </w:rPr>
        <w:t xml:space="preserve"> evaluator can seek information from CASA volunteers, </w:t>
      </w:r>
      <w:r>
        <w:rPr>
          <w:rFonts w:ascii="Proxima Nova" w:eastAsia="Proxima Nova" w:hAnsi="Proxima Nova" w:cs="Proxima Nova"/>
          <w:sz w:val="21"/>
          <w:szCs w:val="21"/>
        </w:rPr>
        <w:t>other CASA staff or court employee</w:t>
      </w:r>
      <w:r>
        <w:rPr>
          <w:rFonts w:ascii="Proxima Nova" w:eastAsia="Proxima Nova" w:hAnsi="Proxima Nova" w:cs="Proxima Nova"/>
          <w:sz w:val="21"/>
          <w:szCs w:val="21"/>
        </w:rPr>
        <w:t xml:space="preserve">s. The Executive Director should be given a chance to respond to the </w:t>
      </w:r>
      <w:proofErr w:type="gramStart"/>
      <w:r>
        <w:rPr>
          <w:rFonts w:ascii="Proxima Nova" w:eastAsia="Proxima Nova" w:hAnsi="Proxima Nova" w:cs="Proxima Nova"/>
          <w:sz w:val="21"/>
          <w:szCs w:val="21"/>
        </w:rPr>
        <w:t>evaluation..</w:t>
      </w:r>
      <w:proofErr w:type="gramEnd"/>
      <w:r>
        <w:rPr>
          <w:rFonts w:ascii="Proxima Nova" w:eastAsia="Proxima Nova" w:hAnsi="Proxima Nova" w:cs="Proxima Nova"/>
          <w:sz w:val="21"/>
          <w:szCs w:val="21"/>
        </w:rPr>
        <w:t xml:space="preserve"> Once completed, the form will be kept in the Executive Directors personnel file. </w:t>
      </w:r>
    </w:p>
    <w:p w14:paraId="0EB102CA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b/>
          <w:color w:val="00447C"/>
        </w:rPr>
      </w:pPr>
    </w:p>
    <w:p w14:paraId="37C4A55F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b/>
          <w:color w:val="00447C"/>
        </w:rPr>
      </w:pPr>
    </w:p>
    <w:tbl>
      <w:tblPr>
        <w:tblStyle w:val="a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665"/>
        <w:gridCol w:w="1935"/>
        <w:gridCol w:w="2565"/>
      </w:tblGrid>
      <w:tr w:rsidR="00123792" w14:paraId="77700F84" w14:textId="77777777">
        <w:tc>
          <w:tcPr>
            <w:tcW w:w="3420" w:type="dxa"/>
            <w:shd w:val="clear" w:color="auto" w:fill="0044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0AE0" w14:textId="77777777" w:rsidR="00123792" w:rsidRDefault="00380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OVERALL ORGANIZATION PERFORMANCE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F34B" w14:textId="77777777" w:rsidR="00123792" w:rsidRDefault="00380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  <w:t>OUTSTANDING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3567" w14:textId="77777777" w:rsidR="00123792" w:rsidRDefault="00380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  <w:t>GOOD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69E4" w14:textId="77777777" w:rsidR="00123792" w:rsidRDefault="00380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  <w:t>NEEDS IMPROVEMENT</w:t>
            </w:r>
          </w:p>
        </w:tc>
      </w:tr>
      <w:tr w:rsidR="00123792" w14:paraId="000713A9" w14:textId="77777777"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3AEC" w14:textId="77777777" w:rsidR="00123792" w:rsidRDefault="00380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sz w:val="20"/>
                <w:szCs w:val="20"/>
              </w:rPr>
              <w:t>Works with the courthouse staff to develop strategies for achieving mission goals and financial viability.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43BC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2829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94D2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147A55BF" w14:textId="77777777">
        <w:trPr>
          <w:trHeight w:val="787"/>
        </w:trPr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E5EE" w14:textId="77777777" w:rsidR="00123792" w:rsidRDefault="0038069B">
            <w:pPr>
              <w:spacing w:before="60" w:after="60" w:line="240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sz w:val="20"/>
                <w:szCs w:val="20"/>
              </w:rPr>
              <w:t>Appropriately provides both support and leadership to volunteers.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A366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2931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0BEE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23AB2840" w14:textId="77777777"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4147" w14:textId="77777777" w:rsidR="00123792" w:rsidRDefault="00380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sz w:val="20"/>
                <w:szCs w:val="20"/>
              </w:rPr>
              <w:t xml:space="preserve">Demonstrates quality of analysis and judgement related to progress and </w:t>
            </w:r>
            <w:proofErr w:type="gramStart"/>
            <w:r>
              <w:rPr>
                <w:sz w:val="20"/>
                <w:szCs w:val="20"/>
              </w:rPr>
              <w:t>opportunities, and</w:t>
            </w:r>
            <w:proofErr w:type="gramEnd"/>
            <w:r>
              <w:rPr>
                <w:sz w:val="20"/>
                <w:szCs w:val="20"/>
              </w:rPr>
              <w:t xml:space="preserve"> need for changes.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FFCE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78D2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FB37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2AF9655B" w14:textId="77777777"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ECB9" w14:textId="77777777" w:rsidR="00123792" w:rsidRDefault="00380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sz w:val="20"/>
                <w:szCs w:val="20"/>
              </w:rPr>
              <w:t>Maintains and utilizes a working knowledge of significant developments and trends in the field.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6E5D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DB0C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3F8B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091B3F8B" w14:textId="77777777"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0DD4" w14:textId="77777777" w:rsidR="00123792" w:rsidRDefault="00380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sz w:val="20"/>
                <w:szCs w:val="20"/>
              </w:rPr>
              <w:t>Builds respect and profile for the organization in its various constituencies. Supports the overall field/movement in which the organization works.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5995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5B41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BA4F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328DDC66" w14:textId="77777777"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7EFA" w14:textId="77777777" w:rsidR="00123792" w:rsidRDefault="00380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Establishes ambitious goals for excellence and impact and initiates, maintains, and adapts programs with excellence and impact.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219A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D043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607A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4BF45831" w14:textId="77777777">
        <w:tc>
          <w:tcPr>
            <w:tcW w:w="3420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F1C0" w14:textId="77777777" w:rsidR="00123792" w:rsidRDefault="00380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on overall organizational performance:</w:t>
            </w:r>
          </w:p>
        </w:tc>
        <w:tc>
          <w:tcPr>
            <w:tcW w:w="16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0B2C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6834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8F33" w14:textId="77777777" w:rsidR="00123792" w:rsidRDefault="00123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</w:tbl>
    <w:p w14:paraId="77E82045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b/>
          <w:color w:val="00447C"/>
        </w:rPr>
      </w:pPr>
    </w:p>
    <w:tbl>
      <w:tblPr>
        <w:tblStyle w:val="a0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665"/>
        <w:gridCol w:w="1935"/>
        <w:gridCol w:w="2565"/>
      </w:tblGrid>
      <w:tr w:rsidR="00123792" w14:paraId="78B496CD" w14:textId="77777777">
        <w:tc>
          <w:tcPr>
            <w:tcW w:w="3420" w:type="dxa"/>
            <w:shd w:val="clear" w:color="auto" w:fill="0044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FA6B" w14:textId="77777777" w:rsidR="00123792" w:rsidRDefault="0038069B">
            <w:pPr>
              <w:widowControl w:val="0"/>
              <w:spacing w:line="240" w:lineRule="auto"/>
              <w:ind w:left="360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COMMUNITY LEADERSHIP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9E62" w14:textId="77777777" w:rsidR="00123792" w:rsidRDefault="003806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  <w:t>OUTSTANDING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E253" w14:textId="77777777" w:rsidR="00123792" w:rsidRDefault="003806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  <w:t>GOOD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8A5C" w14:textId="77777777" w:rsidR="00123792" w:rsidRDefault="003806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  <w:t>NEEDS IMPROVEMENT</w:t>
            </w:r>
          </w:p>
        </w:tc>
      </w:tr>
      <w:tr w:rsidR="00123792" w14:paraId="23121E30" w14:textId="77777777"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3D32" w14:textId="77777777" w:rsidR="00123792" w:rsidRDefault="003806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sz w:val="20"/>
                <w:szCs w:val="20"/>
              </w:rPr>
              <w:t xml:space="preserve">Serves as an effective spokesperson. Represents the organization well to its constituencies, including CASA volunteers, other nonprofits, government agencies, elected officials, funders, and the </w:t>
            </w:r>
            <w:proofErr w:type="gramStart"/>
            <w:r>
              <w:rPr>
                <w:sz w:val="20"/>
                <w:szCs w:val="20"/>
              </w:rPr>
              <w:t>general public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716A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EFF0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8A8D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3156886A" w14:textId="77777777">
        <w:trPr>
          <w:trHeight w:val="787"/>
        </w:trPr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DE8C" w14:textId="77777777" w:rsidR="00123792" w:rsidRDefault="0038069B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Establishes and makes use of working relationships with organizations and individuals in the field.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62CC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FFF5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174C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6E299D7D" w14:textId="77777777"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2120" w14:textId="77777777" w:rsidR="00123792" w:rsidRDefault="003806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sz w:val="20"/>
                <w:szCs w:val="20"/>
              </w:rPr>
              <w:t>Sees that communication vehicles are developed and utilized well.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A190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0274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009F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4384E3E5" w14:textId="77777777">
        <w:tc>
          <w:tcPr>
            <w:tcW w:w="3420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BA6C" w14:textId="77777777" w:rsidR="00123792" w:rsidRDefault="003806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on community leadership:</w:t>
            </w:r>
          </w:p>
        </w:tc>
        <w:tc>
          <w:tcPr>
            <w:tcW w:w="16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9E60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73E3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88FC" w14:textId="77777777" w:rsidR="00123792" w:rsidRDefault="0012379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</w:tbl>
    <w:p w14:paraId="5C279272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b/>
          <w:color w:val="00447C"/>
        </w:rPr>
      </w:pPr>
    </w:p>
    <w:p w14:paraId="7529F97A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b/>
          <w:color w:val="00447C"/>
        </w:rPr>
      </w:pPr>
    </w:p>
    <w:tbl>
      <w:tblPr>
        <w:tblStyle w:val="a1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665"/>
        <w:gridCol w:w="1935"/>
        <w:gridCol w:w="2565"/>
      </w:tblGrid>
      <w:tr w:rsidR="00123792" w14:paraId="6FF08B2D" w14:textId="77777777">
        <w:tc>
          <w:tcPr>
            <w:tcW w:w="3420" w:type="dxa"/>
            <w:shd w:val="clear" w:color="auto" w:fill="0044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A3E5" w14:textId="77777777" w:rsidR="00123792" w:rsidRDefault="003806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b/>
                <w:color w:val="FFFFFF"/>
                <w:sz w:val="20"/>
                <w:szCs w:val="20"/>
              </w:rPr>
              <w:t>ADMINISTRATION AND HUMAN RESOURCES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7BA8" w14:textId="77777777" w:rsidR="00123792" w:rsidRDefault="003806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  <w:t>OUTSTANDING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B259" w14:textId="77777777" w:rsidR="00123792" w:rsidRDefault="003806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  <w:t>GOOD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E3C4" w14:textId="77777777" w:rsidR="00123792" w:rsidRDefault="0038069B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  <w:t>NEEDS IMPROVEMENT</w:t>
            </w:r>
          </w:p>
        </w:tc>
      </w:tr>
      <w:tr w:rsidR="00123792" w14:paraId="03477785" w14:textId="77777777"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274B" w14:textId="77777777" w:rsidR="00123792" w:rsidRDefault="003806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sz w:val="20"/>
                <w:szCs w:val="20"/>
              </w:rPr>
              <w:t>Establishes and leads an effective management team.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6275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DFDF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3ECA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048C3627" w14:textId="77777777">
        <w:trPr>
          <w:trHeight w:val="787"/>
        </w:trPr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DC44" w14:textId="77777777" w:rsidR="00123792" w:rsidRDefault="0038069B">
            <w:pPr>
              <w:spacing w:before="60" w:after="60" w:line="240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sz w:val="20"/>
                <w:szCs w:val="20"/>
              </w:rPr>
              <w:t>Recruits and retains diverse CASA volunteers.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0A53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F907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6A84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263A3405" w14:textId="77777777"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34BC" w14:textId="77777777" w:rsidR="00123792" w:rsidRDefault="003806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sz w:val="20"/>
                <w:szCs w:val="20"/>
              </w:rPr>
              <w:t>Maintains appropriate balance between programs and administration.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DD7A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483F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51D4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2864AFF9" w14:textId="77777777"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5CFD" w14:textId="77777777" w:rsidR="00123792" w:rsidRDefault="003806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sz w:val="20"/>
                <w:szCs w:val="20"/>
              </w:rPr>
              <w:t>Ensures that procedures and organizational culture maximize volunteer involvement.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2017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E573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577B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7219306D" w14:textId="77777777"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B654" w14:textId="77777777" w:rsidR="00123792" w:rsidRDefault="0038069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sz w:val="20"/>
                <w:szCs w:val="20"/>
              </w:rPr>
              <w:t>Ensures compliance with relevant workplace and employment laws.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8A50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D1B6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2B3B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3CD9EAC6" w14:textId="77777777"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B611" w14:textId="77777777" w:rsidR="00123792" w:rsidRDefault="003806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Sees that employees are licensed and credentialed as required and that appropriate background checks are conducted.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C7661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36A9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DFEB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67E5CBE2" w14:textId="77777777"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94CF" w14:textId="77777777" w:rsidR="00123792" w:rsidRDefault="003806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Leads staff in maintaining a climate of excellence, accountability, and respect.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8BBD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9086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4DBA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  <w:tr w:rsidR="00123792" w14:paraId="1551DC54" w14:textId="77777777">
        <w:tc>
          <w:tcPr>
            <w:tcW w:w="3420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8BEB" w14:textId="77777777" w:rsidR="00123792" w:rsidRDefault="0038069B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on administration and HR:</w:t>
            </w:r>
          </w:p>
          <w:p w14:paraId="1CC3A904" w14:textId="77777777" w:rsidR="00123792" w:rsidRDefault="0012379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AEA2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4ED4" w14:textId="77777777" w:rsidR="00123792" w:rsidRDefault="00123792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C38E" w14:textId="77777777" w:rsidR="00123792" w:rsidRDefault="0012379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color w:val="00447C"/>
                <w:sz w:val="20"/>
                <w:szCs w:val="20"/>
              </w:rPr>
            </w:pPr>
          </w:p>
        </w:tc>
      </w:tr>
    </w:tbl>
    <w:p w14:paraId="007E4FC5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sz w:val="21"/>
          <w:szCs w:val="21"/>
        </w:rPr>
      </w:pPr>
    </w:p>
    <w:p w14:paraId="08C6F676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sz w:val="21"/>
          <w:szCs w:val="21"/>
        </w:rPr>
      </w:pPr>
    </w:p>
    <w:p w14:paraId="53E9C1B1" w14:textId="77777777" w:rsidR="00123792" w:rsidRDefault="0038069B">
      <w:pPr>
        <w:spacing w:before="200" w:line="300" w:lineRule="auto"/>
        <w:rPr>
          <w:rFonts w:ascii="Proxima Nova" w:eastAsia="Proxima Nova" w:hAnsi="Proxima Nova" w:cs="Proxima Nova"/>
          <w:sz w:val="21"/>
          <w:szCs w:val="21"/>
        </w:rPr>
      </w:pPr>
      <w:r>
        <w:rPr>
          <w:rFonts w:ascii="Proxima Nova" w:eastAsia="Proxima Nova" w:hAnsi="Proxima Nova" w:cs="Proxima Nova"/>
          <w:sz w:val="21"/>
          <w:szCs w:val="21"/>
        </w:rPr>
        <w:t>Any comments/reactions from the Executive Director on this evaluation:</w:t>
      </w:r>
    </w:p>
    <w:p w14:paraId="49B88AD0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sz w:val="21"/>
          <w:szCs w:val="21"/>
        </w:rPr>
      </w:pPr>
    </w:p>
    <w:p w14:paraId="47B2381C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sz w:val="21"/>
          <w:szCs w:val="21"/>
        </w:rPr>
      </w:pPr>
    </w:p>
    <w:p w14:paraId="1B1F6F41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sz w:val="21"/>
          <w:szCs w:val="21"/>
        </w:rPr>
      </w:pPr>
    </w:p>
    <w:p w14:paraId="1FFBC55D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sz w:val="21"/>
          <w:szCs w:val="21"/>
        </w:rPr>
      </w:pPr>
    </w:p>
    <w:p w14:paraId="18CF55D5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sz w:val="21"/>
          <w:szCs w:val="21"/>
        </w:rPr>
      </w:pPr>
    </w:p>
    <w:p w14:paraId="651C8612" w14:textId="77777777" w:rsidR="00123792" w:rsidRDefault="00123792">
      <w:pPr>
        <w:spacing w:before="200" w:line="300" w:lineRule="auto"/>
        <w:rPr>
          <w:rFonts w:ascii="Proxima Nova" w:eastAsia="Proxima Nova" w:hAnsi="Proxima Nova" w:cs="Proxima Nova"/>
          <w:sz w:val="21"/>
          <w:szCs w:val="21"/>
        </w:rPr>
      </w:pPr>
    </w:p>
    <w:p w14:paraId="12505B80" w14:textId="77777777" w:rsidR="00123792" w:rsidRDefault="003806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evaluation was most recently completed on ________________________. </w:t>
      </w:r>
    </w:p>
    <w:p w14:paraId="2FD2F3C0" w14:textId="77777777" w:rsidR="00123792" w:rsidRDefault="003806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people were present:</w:t>
      </w:r>
    </w:p>
    <w:p w14:paraId="4ADDD3B5" w14:textId="77777777" w:rsidR="00123792" w:rsidRDefault="00123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FA11E" w14:textId="77777777" w:rsidR="00123792" w:rsidRDefault="00123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4D7FC" w14:textId="77777777" w:rsidR="00123792" w:rsidRDefault="00123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EC175" w14:textId="77777777" w:rsidR="00123792" w:rsidRDefault="00123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04FFD" w14:textId="77777777" w:rsidR="00123792" w:rsidRDefault="00123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9765F" w14:textId="77777777" w:rsidR="00123792" w:rsidRDefault="003806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____________________________</w:t>
      </w:r>
    </w:p>
    <w:p w14:paraId="3EDF1612" w14:textId="77777777" w:rsidR="00123792" w:rsidRDefault="00123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E7840" w14:textId="77777777" w:rsidR="00123792" w:rsidRDefault="003806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Director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p w14:paraId="3637DC35" w14:textId="77777777" w:rsidR="00123792" w:rsidRDefault="00123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7B67F" w14:textId="77777777" w:rsidR="00123792" w:rsidRDefault="00123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0E66C" w14:textId="77777777" w:rsidR="00123792" w:rsidRDefault="00123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4B799" w14:textId="77777777" w:rsidR="00123792" w:rsidRDefault="00123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40D86" w14:textId="77777777" w:rsidR="00123792" w:rsidRDefault="003806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____________________________</w:t>
      </w:r>
    </w:p>
    <w:p w14:paraId="53479636" w14:textId="77777777" w:rsidR="00123792" w:rsidRDefault="00123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A68DC" w14:textId="77777777" w:rsidR="00123792" w:rsidRDefault="003806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name-evaluator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p w14:paraId="3375B88F" w14:textId="77777777" w:rsidR="00123792" w:rsidRDefault="00123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60A82" w14:textId="77777777" w:rsidR="00123792" w:rsidRDefault="003806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____________________________</w:t>
      </w:r>
    </w:p>
    <w:p w14:paraId="223DFEC9" w14:textId="77777777" w:rsidR="00123792" w:rsidRDefault="001237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42B87" w14:textId="77777777" w:rsidR="00123792" w:rsidRDefault="003806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name-title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sectPr w:rsidR="00123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DB75" w14:textId="77777777" w:rsidR="0038069B" w:rsidRDefault="0038069B">
      <w:pPr>
        <w:spacing w:line="240" w:lineRule="auto"/>
      </w:pPr>
      <w:r>
        <w:separator/>
      </w:r>
    </w:p>
  </w:endnote>
  <w:endnote w:type="continuationSeparator" w:id="0">
    <w:p w14:paraId="08A2FE9C" w14:textId="77777777" w:rsidR="0038069B" w:rsidRDefault="00380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59E8" w14:textId="77777777" w:rsidR="009B457D" w:rsidRDefault="009B4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D9B0" w14:textId="702466A0" w:rsidR="00123792" w:rsidRDefault="0038069B">
    <w:pPr>
      <w:jc w:val="right"/>
      <w:rPr>
        <w:sz w:val="16"/>
        <w:szCs w:val="16"/>
      </w:rPr>
    </w:pPr>
    <w:r>
      <w:rPr>
        <w:sz w:val="16"/>
        <w:szCs w:val="16"/>
      </w:rPr>
      <w:t xml:space="preserve">Adopted </w:t>
    </w:r>
    <w:r w:rsidR="009B457D">
      <w:rPr>
        <w:sz w:val="16"/>
        <w:szCs w:val="16"/>
      </w:rPr>
      <w:t xml:space="preserve">April </w:t>
    </w:r>
    <w:r w:rsidR="009B457D">
      <w:rPr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EE53" w14:textId="77777777" w:rsidR="009B457D" w:rsidRDefault="009B4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D3A3" w14:textId="77777777" w:rsidR="0038069B" w:rsidRDefault="0038069B">
      <w:pPr>
        <w:spacing w:line="240" w:lineRule="auto"/>
      </w:pPr>
      <w:r>
        <w:separator/>
      </w:r>
    </w:p>
  </w:footnote>
  <w:footnote w:type="continuationSeparator" w:id="0">
    <w:p w14:paraId="2FF7AC49" w14:textId="77777777" w:rsidR="0038069B" w:rsidRDefault="00380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143" w14:textId="77777777" w:rsidR="009B457D" w:rsidRDefault="009B4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13DC" w14:textId="77777777" w:rsidR="009B457D" w:rsidRDefault="009B4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AB42" w14:textId="77777777" w:rsidR="009B457D" w:rsidRDefault="009B4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92"/>
    <w:rsid w:val="00123792"/>
    <w:rsid w:val="0038069B"/>
    <w:rsid w:val="009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E520F"/>
  <w15:docId w15:val="{BDE256B7-E038-A843-838C-BB96D4FE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45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57D"/>
  </w:style>
  <w:style w:type="paragraph" w:styleId="Footer">
    <w:name w:val="footer"/>
    <w:basedOn w:val="Normal"/>
    <w:link w:val="FooterChar"/>
    <w:uiPriority w:val="99"/>
    <w:unhideWhenUsed/>
    <w:rsid w:val="009B45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Glumac</cp:lastModifiedBy>
  <cp:revision>2</cp:revision>
  <dcterms:created xsi:type="dcterms:W3CDTF">2022-04-04T16:35:00Z</dcterms:created>
  <dcterms:modified xsi:type="dcterms:W3CDTF">2022-04-04T16:35:00Z</dcterms:modified>
</cp:coreProperties>
</file>